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Grabenlose Kanalsanierung in der Goltermannstraße Stadt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32.2/04/2026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Grabenlose Kanalsanierung in der Goltermannstraße Stadt Seelze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